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BCB" w:rsidRPr="004A191A" w:rsidRDefault="00BF03DA" w:rsidP="0009428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bookmarkStart w:id="0" w:name="_heading=h.gjdgxs"/>
      <w:bookmarkEnd w:id="0"/>
      <w:r w:rsidRPr="004A191A">
        <w:rPr>
          <w:rFonts w:ascii="Arial" w:hAnsi="Arial" w:cs="Arial"/>
          <w:b/>
          <w:sz w:val="20"/>
          <w:szCs w:val="20"/>
        </w:rPr>
        <w:t xml:space="preserve">VDM: Notice on collecting shareholders' </w:t>
      </w:r>
      <w:r w:rsidR="00C75E1C">
        <w:rPr>
          <w:rFonts w:ascii="Arial" w:hAnsi="Arial" w:cs="Arial"/>
          <w:b/>
          <w:sz w:val="20"/>
          <w:szCs w:val="20"/>
        </w:rPr>
        <w:t>mail-in</w:t>
      </w:r>
      <w:r w:rsidRPr="004A191A">
        <w:rPr>
          <w:rFonts w:ascii="Arial" w:hAnsi="Arial" w:cs="Arial"/>
          <w:b/>
          <w:sz w:val="20"/>
          <w:szCs w:val="20"/>
        </w:rPr>
        <w:t xml:space="preserve"> ballot</w:t>
      </w:r>
    </w:p>
    <w:p w:rsidR="003C7BCB" w:rsidRPr="004A191A" w:rsidRDefault="00BF03DA" w:rsidP="0009428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A191A">
        <w:rPr>
          <w:rFonts w:ascii="Arial" w:hAnsi="Arial" w:cs="Arial"/>
          <w:sz w:val="20"/>
          <w:szCs w:val="20"/>
        </w:rPr>
        <w:t xml:space="preserve">On September 22, 2021, Vietnam Textile Research Institution Joint Stock Company </w:t>
      </w:r>
      <w:r w:rsidR="0009428A" w:rsidRPr="004A191A">
        <w:rPr>
          <w:rFonts w:ascii="Arial" w:hAnsi="Arial" w:cs="Arial"/>
          <w:sz w:val="20"/>
          <w:szCs w:val="20"/>
          <w:lang w:val="vi-VN"/>
        </w:rPr>
        <w:t>announced</w:t>
      </w:r>
      <w:r w:rsidRPr="004A191A">
        <w:rPr>
          <w:rFonts w:ascii="Arial" w:hAnsi="Arial" w:cs="Arial"/>
          <w:sz w:val="20"/>
          <w:szCs w:val="20"/>
        </w:rPr>
        <w:t xml:space="preserve"> Notice </w:t>
      </w:r>
      <w:r w:rsidR="004A191A" w:rsidRPr="004A191A">
        <w:rPr>
          <w:rFonts w:ascii="Arial" w:hAnsi="Arial" w:cs="Arial"/>
          <w:sz w:val="20"/>
          <w:szCs w:val="20"/>
        </w:rPr>
        <w:t xml:space="preserve">No. </w:t>
      </w:r>
      <w:r w:rsidRPr="004A191A">
        <w:rPr>
          <w:rFonts w:ascii="Arial" w:hAnsi="Arial" w:cs="Arial"/>
          <w:sz w:val="20"/>
          <w:szCs w:val="20"/>
        </w:rPr>
        <w:t xml:space="preserve">851/TB.HDQT-VTRI on collecting shareholders' </w:t>
      </w:r>
      <w:r w:rsidR="00C75E1C">
        <w:rPr>
          <w:rFonts w:ascii="Arial" w:hAnsi="Arial" w:cs="Arial"/>
          <w:sz w:val="20"/>
          <w:szCs w:val="20"/>
        </w:rPr>
        <w:t>mail-in ballot</w:t>
      </w:r>
      <w:r w:rsidRPr="004A191A">
        <w:rPr>
          <w:rFonts w:ascii="Arial" w:hAnsi="Arial" w:cs="Arial"/>
          <w:sz w:val="20"/>
          <w:szCs w:val="20"/>
        </w:rPr>
        <w:t xml:space="preserve"> as follows:</w:t>
      </w:r>
    </w:p>
    <w:p w:rsidR="003C7BCB" w:rsidRPr="004A191A" w:rsidRDefault="00BF03DA" w:rsidP="000942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558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A191A">
        <w:rPr>
          <w:rFonts w:ascii="Arial" w:hAnsi="Arial" w:cs="Arial"/>
          <w:sz w:val="20"/>
          <w:szCs w:val="20"/>
        </w:rPr>
        <w:t>Subjects to collect opinions: Existing shareholders named in the list of shareholders</w:t>
      </w:r>
      <w:r w:rsidR="004A191A" w:rsidRPr="004A191A">
        <w:rPr>
          <w:rFonts w:ascii="Arial" w:hAnsi="Arial" w:cs="Arial"/>
          <w:sz w:val="20"/>
          <w:szCs w:val="20"/>
        </w:rPr>
        <w:t xml:space="preserve"> recorded on</w:t>
      </w:r>
      <w:r w:rsidRPr="004A191A">
        <w:rPr>
          <w:rFonts w:ascii="Arial" w:hAnsi="Arial" w:cs="Arial"/>
          <w:sz w:val="20"/>
          <w:szCs w:val="20"/>
        </w:rPr>
        <w:t xml:space="preserve"> September 17, 2021.</w:t>
      </w:r>
    </w:p>
    <w:p w:rsidR="003C7BCB" w:rsidRPr="004A191A" w:rsidRDefault="00BF03DA" w:rsidP="000942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562"/>
        </w:tabs>
        <w:spacing w:after="120" w:line="360" w:lineRule="auto"/>
        <w:rPr>
          <w:rFonts w:ascii="Arial" w:eastAsia="Arial" w:hAnsi="Arial" w:cs="Arial"/>
          <w:sz w:val="20"/>
          <w:szCs w:val="20"/>
        </w:rPr>
      </w:pPr>
      <w:r w:rsidRPr="004A191A">
        <w:rPr>
          <w:rFonts w:ascii="Arial" w:hAnsi="Arial" w:cs="Arial"/>
          <w:sz w:val="20"/>
          <w:szCs w:val="20"/>
        </w:rPr>
        <w:t>Time: From September 22, 2021 to October 1, 2021.</w:t>
      </w:r>
    </w:p>
    <w:p w:rsidR="003C7BCB" w:rsidRPr="004A191A" w:rsidRDefault="00C75E1C" w:rsidP="000942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567"/>
        </w:tabs>
        <w:spacing w:after="12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Ballot deadline</w:t>
      </w:r>
      <w:r w:rsidR="00BF03DA" w:rsidRPr="004A191A">
        <w:rPr>
          <w:rFonts w:ascii="Arial" w:hAnsi="Arial" w:cs="Arial"/>
          <w:sz w:val="20"/>
          <w:szCs w:val="20"/>
        </w:rPr>
        <w:t xml:space="preserve">: </w:t>
      </w:r>
      <w:r w:rsidR="004A191A" w:rsidRPr="004A191A">
        <w:rPr>
          <w:rFonts w:ascii="Arial" w:hAnsi="Arial" w:cs="Arial"/>
          <w:sz w:val="20"/>
          <w:szCs w:val="20"/>
        </w:rPr>
        <w:t xml:space="preserve">No later than </w:t>
      </w:r>
      <w:r w:rsidR="00BF03DA" w:rsidRPr="004A191A">
        <w:rPr>
          <w:rFonts w:ascii="Arial" w:hAnsi="Arial" w:cs="Arial"/>
          <w:sz w:val="20"/>
          <w:szCs w:val="20"/>
        </w:rPr>
        <w:t>5.00 pm, Friday, October 1, 2021.</w:t>
      </w:r>
    </w:p>
    <w:p w:rsidR="003C7BCB" w:rsidRPr="004A191A" w:rsidRDefault="00BF03DA" w:rsidP="000942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572"/>
        </w:tabs>
        <w:spacing w:after="120" w:line="360" w:lineRule="auto"/>
        <w:rPr>
          <w:rFonts w:ascii="Arial" w:eastAsia="Arial" w:hAnsi="Arial" w:cs="Arial"/>
          <w:sz w:val="20"/>
          <w:szCs w:val="20"/>
        </w:rPr>
      </w:pPr>
      <w:r w:rsidRPr="004A191A">
        <w:rPr>
          <w:rFonts w:ascii="Arial" w:hAnsi="Arial" w:cs="Arial"/>
          <w:sz w:val="20"/>
          <w:szCs w:val="20"/>
        </w:rPr>
        <w:t xml:space="preserve">Content of </w:t>
      </w:r>
      <w:r w:rsidR="00C75E1C">
        <w:rPr>
          <w:rFonts w:ascii="Arial" w:hAnsi="Arial" w:cs="Arial"/>
          <w:sz w:val="20"/>
          <w:szCs w:val="20"/>
        </w:rPr>
        <w:t>balloting</w:t>
      </w:r>
      <w:r w:rsidRPr="004A191A">
        <w:rPr>
          <w:rFonts w:ascii="Arial" w:hAnsi="Arial" w:cs="Arial"/>
          <w:sz w:val="20"/>
          <w:szCs w:val="20"/>
        </w:rPr>
        <w:t>: Approve the plan o</w:t>
      </w:r>
      <w:r w:rsidR="004A191A" w:rsidRPr="004A191A">
        <w:rPr>
          <w:rFonts w:ascii="Arial" w:hAnsi="Arial" w:cs="Arial"/>
          <w:sz w:val="20"/>
          <w:szCs w:val="20"/>
        </w:rPr>
        <w:t>n</w:t>
      </w:r>
      <w:r w:rsidR="00C75E1C">
        <w:rPr>
          <w:rFonts w:ascii="Arial" w:hAnsi="Arial" w:cs="Arial"/>
          <w:sz w:val="20"/>
          <w:szCs w:val="20"/>
        </w:rPr>
        <w:t xml:space="preserve"> </w:t>
      </w:r>
      <w:r w:rsidR="004A191A" w:rsidRPr="004A191A">
        <w:rPr>
          <w:rFonts w:ascii="Arial" w:hAnsi="Arial" w:cs="Arial"/>
          <w:sz w:val="20"/>
          <w:szCs w:val="20"/>
        </w:rPr>
        <w:t>additional</w:t>
      </w:r>
      <w:r w:rsidRPr="004A191A">
        <w:rPr>
          <w:rFonts w:ascii="Arial" w:hAnsi="Arial" w:cs="Arial"/>
          <w:sz w:val="20"/>
          <w:szCs w:val="20"/>
        </w:rPr>
        <w:t xml:space="preserve"> profit distribution, appropriation for funds and </w:t>
      </w:r>
      <w:r w:rsidR="00C75E1C">
        <w:rPr>
          <w:rFonts w:ascii="Arial" w:hAnsi="Arial" w:cs="Arial"/>
          <w:sz w:val="20"/>
          <w:szCs w:val="20"/>
        </w:rPr>
        <w:t>dividend payment</w:t>
      </w:r>
      <w:r w:rsidR="004A191A" w:rsidRPr="004A191A">
        <w:rPr>
          <w:rFonts w:ascii="Arial" w:hAnsi="Arial" w:cs="Arial"/>
          <w:sz w:val="20"/>
          <w:szCs w:val="20"/>
        </w:rPr>
        <w:t xml:space="preserve"> of</w:t>
      </w:r>
      <w:r w:rsidRPr="004A191A">
        <w:rPr>
          <w:rFonts w:ascii="Arial" w:hAnsi="Arial" w:cs="Arial"/>
          <w:sz w:val="20"/>
          <w:szCs w:val="20"/>
        </w:rPr>
        <w:t xml:space="preserve"> 2020 of Vietnam Textile Research Institution Joint Stock Company.</w:t>
      </w:r>
    </w:p>
    <w:p w:rsidR="00BF03DA" w:rsidRPr="004A191A" w:rsidRDefault="00BF03DA" w:rsidP="00BF03DA">
      <w:pPr>
        <w:pStyle w:val="Tablecaption0"/>
        <w:spacing w:after="120" w:line="360" w:lineRule="auto"/>
        <w:jc w:val="right"/>
        <w:rPr>
          <w:rFonts w:ascii="Arial" w:hAnsi="Arial" w:cs="Arial"/>
          <w:sz w:val="20"/>
          <w:szCs w:val="20"/>
        </w:rPr>
      </w:pPr>
      <w:r w:rsidRPr="004A191A">
        <w:rPr>
          <w:rFonts w:ascii="Arial" w:hAnsi="Arial" w:cs="Arial"/>
          <w:iCs/>
          <w:color w:val="000000"/>
          <w:sz w:val="20"/>
          <w:szCs w:val="20"/>
        </w:rPr>
        <w:t>Unit: VND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/>
      </w:tblPr>
      <w:tblGrid>
        <w:gridCol w:w="732"/>
        <w:gridCol w:w="4158"/>
        <w:gridCol w:w="1043"/>
        <w:gridCol w:w="1700"/>
        <w:gridCol w:w="1407"/>
      </w:tblGrid>
      <w:tr w:rsidR="00BF03DA" w:rsidRPr="004A191A" w:rsidTr="004A191A">
        <w:trPr>
          <w:trHeight w:hRule="exact" w:val="857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DA" w:rsidRPr="004A191A" w:rsidRDefault="004A191A" w:rsidP="00BF03DA">
            <w:pPr>
              <w:pStyle w:val="Other0"/>
              <w:spacing w:after="120" w:line="360" w:lineRule="auto"/>
              <w:ind w:firstLine="0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3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DA" w:rsidRPr="004A191A" w:rsidRDefault="00BF03DA" w:rsidP="004A191A">
            <w:pPr>
              <w:pStyle w:val="Other0"/>
              <w:spacing w:after="120" w:line="360" w:lineRule="auto"/>
              <w:ind w:firstLine="0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4A191A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>Content</w:t>
            </w:r>
          </w:p>
        </w:tc>
        <w:tc>
          <w:tcPr>
            <w:tcW w:w="151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DA" w:rsidRPr="004A191A" w:rsidRDefault="00BF03DA" w:rsidP="004A191A">
            <w:pPr>
              <w:pStyle w:val="Other0"/>
              <w:spacing w:after="120" w:line="360" w:lineRule="auto"/>
              <w:ind w:firstLine="0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4A191A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>Profit distribution</w:t>
            </w:r>
            <w:r w:rsidR="004A191A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 xml:space="preserve"> in </w:t>
            </w:r>
            <w:r w:rsidRPr="004A191A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DA" w:rsidRPr="004A191A" w:rsidRDefault="00BF03DA" w:rsidP="00BF03DA">
            <w:pPr>
              <w:pStyle w:val="Other0"/>
              <w:spacing w:after="120" w:line="360" w:lineRule="auto"/>
              <w:ind w:firstLine="0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4A191A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>Note</w:t>
            </w:r>
          </w:p>
        </w:tc>
      </w:tr>
      <w:tr w:rsidR="00BF03DA" w:rsidRPr="004A191A" w:rsidTr="004A191A">
        <w:trPr>
          <w:trHeight w:hRule="exact" w:val="526"/>
        </w:trPr>
        <w:tc>
          <w:tcPr>
            <w:tcW w:w="405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03DA" w:rsidRPr="004A191A" w:rsidRDefault="00BF03DA" w:rsidP="00BF03DA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03DA" w:rsidRPr="004A191A" w:rsidRDefault="00BF03DA" w:rsidP="004A191A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DA" w:rsidRPr="004A191A" w:rsidRDefault="004A191A" w:rsidP="00BF03DA">
            <w:pPr>
              <w:pStyle w:val="Other0"/>
              <w:spacing w:after="120" w:line="360" w:lineRule="auto"/>
              <w:ind w:firstLine="0"/>
              <w:jc w:val="center"/>
              <w:rPr>
                <w:rFonts w:ascii="Arial" w:hAnsi="Arial" w:cs="Arial"/>
                <w:i w:val="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 w:val="0"/>
                <w:color w:val="000000"/>
                <w:sz w:val="20"/>
                <w:szCs w:val="20"/>
                <w:lang w:val="en-GB"/>
              </w:rPr>
              <w:t>Rate (</w:t>
            </w:r>
            <w:r w:rsidR="0009428A" w:rsidRPr="004A191A">
              <w:rPr>
                <w:rFonts w:ascii="Arial" w:hAnsi="Arial" w:cs="Arial"/>
                <w:i w:val="0"/>
                <w:color w:val="000000"/>
                <w:sz w:val="20"/>
                <w:szCs w:val="20"/>
                <w:lang w:val="vi-VN"/>
              </w:rPr>
              <w:t>%</w:t>
            </w:r>
            <w:r>
              <w:rPr>
                <w:rFonts w:ascii="Arial" w:hAnsi="Arial" w:cs="Arial"/>
                <w:i w:val="0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DA" w:rsidRPr="004A191A" w:rsidRDefault="00BF03DA" w:rsidP="00BF03DA">
            <w:pPr>
              <w:pStyle w:val="Other0"/>
              <w:spacing w:after="120" w:line="360" w:lineRule="auto"/>
              <w:ind w:firstLine="0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4A191A"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>Amount</w:t>
            </w: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DA" w:rsidRPr="004A191A" w:rsidRDefault="00BF03DA" w:rsidP="00BF03DA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3DA" w:rsidRPr="004A191A" w:rsidTr="004A191A">
        <w:trPr>
          <w:trHeight w:hRule="exact" w:val="846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DA" w:rsidRPr="004A191A" w:rsidRDefault="00BF03DA" w:rsidP="00BF03DA">
            <w:pPr>
              <w:pStyle w:val="Other0"/>
              <w:spacing w:after="120" w:line="360" w:lineRule="auto"/>
              <w:ind w:firstLine="0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4A191A">
              <w:rPr>
                <w:rFonts w:ascii="Arial" w:hAnsi="Arial" w:cs="Arial"/>
                <w:bCs/>
                <w:i w:val="0"/>
                <w:i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DA" w:rsidRPr="004A191A" w:rsidRDefault="004A191A" w:rsidP="004A191A">
            <w:pPr>
              <w:pStyle w:val="Other0"/>
              <w:spacing w:after="120" w:line="360" w:lineRule="auto"/>
              <w:ind w:firstLine="0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i w:val="0"/>
                <w:iCs w:val="0"/>
                <w:color w:val="000000"/>
                <w:sz w:val="20"/>
                <w:szCs w:val="20"/>
              </w:rPr>
              <w:t>Undistributed</w:t>
            </w:r>
            <w:r w:rsidR="00BF03DA" w:rsidRPr="004A191A">
              <w:rPr>
                <w:rFonts w:ascii="Arial" w:hAnsi="Arial" w:cs="Arial"/>
                <w:bCs/>
                <w:i w:val="0"/>
                <w:iCs w:val="0"/>
                <w:color w:val="000000"/>
                <w:sz w:val="20"/>
                <w:szCs w:val="20"/>
              </w:rPr>
              <w:t xml:space="preserve"> profit after tax </w:t>
            </w:r>
            <w:r>
              <w:rPr>
                <w:rFonts w:ascii="Arial" w:hAnsi="Arial" w:cs="Arial"/>
                <w:bCs/>
                <w:i w:val="0"/>
                <w:iCs w:val="0"/>
                <w:color w:val="000000"/>
                <w:sz w:val="20"/>
                <w:szCs w:val="20"/>
              </w:rPr>
              <w:t>as at</w:t>
            </w:r>
            <w:r w:rsidR="00BF03DA" w:rsidRPr="004A191A">
              <w:rPr>
                <w:rFonts w:ascii="Arial" w:hAnsi="Arial" w:cs="Arial"/>
                <w:bCs/>
                <w:i w:val="0"/>
                <w:iCs w:val="0"/>
                <w:color w:val="000000"/>
                <w:sz w:val="20"/>
                <w:szCs w:val="20"/>
              </w:rPr>
              <w:t xml:space="preserve"> December 31, 2020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DA" w:rsidRPr="004A191A" w:rsidRDefault="00BF03DA" w:rsidP="00BF03DA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DA" w:rsidRPr="004A191A" w:rsidRDefault="00BF03DA" w:rsidP="004A191A">
            <w:pPr>
              <w:pStyle w:val="Other0"/>
              <w:spacing w:after="120" w:line="360" w:lineRule="auto"/>
              <w:ind w:right="107" w:firstLine="240"/>
              <w:jc w:val="right"/>
              <w:rPr>
                <w:rFonts w:ascii="Arial" w:hAnsi="Arial" w:cs="Arial"/>
                <w:i w:val="0"/>
                <w:sz w:val="20"/>
                <w:szCs w:val="20"/>
              </w:rPr>
            </w:pPr>
            <w:r w:rsidRPr="004A191A">
              <w:rPr>
                <w:rFonts w:ascii="Arial" w:hAnsi="Arial" w:cs="Arial"/>
                <w:bCs/>
                <w:i w:val="0"/>
                <w:iCs w:val="0"/>
                <w:color w:val="000000"/>
                <w:sz w:val="20"/>
                <w:szCs w:val="20"/>
              </w:rPr>
              <w:t>4,506,502,318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DA" w:rsidRPr="004A191A" w:rsidRDefault="00BF03DA" w:rsidP="00BF03DA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3DA" w:rsidRPr="004A191A" w:rsidTr="004A191A">
        <w:trPr>
          <w:trHeight w:hRule="exact" w:val="839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DA" w:rsidRPr="004A191A" w:rsidRDefault="00BF03DA" w:rsidP="00BF03DA">
            <w:pPr>
              <w:pStyle w:val="Other0"/>
              <w:spacing w:after="120" w:line="360" w:lineRule="auto"/>
              <w:ind w:firstLine="0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4A191A"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DA" w:rsidRPr="004A191A" w:rsidRDefault="00BF03DA" w:rsidP="004A191A">
            <w:pPr>
              <w:pStyle w:val="Other0"/>
              <w:spacing w:after="120" w:line="360" w:lineRule="auto"/>
              <w:ind w:firstLine="0"/>
              <w:rPr>
                <w:rFonts w:ascii="Arial" w:hAnsi="Arial" w:cs="Arial"/>
                <w:i w:val="0"/>
                <w:sz w:val="20"/>
                <w:szCs w:val="20"/>
              </w:rPr>
            </w:pPr>
            <w:r w:rsidRPr="004A191A"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Undistributed profit transferred from 2019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DA" w:rsidRPr="004A191A" w:rsidRDefault="00BF03DA" w:rsidP="00BF03DA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DA" w:rsidRPr="004A191A" w:rsidRDefault="00BF03DA" w:rsidP="004A191A">
            <w:pPr>
              <w:pStyle w:val="Other0"/>
              <w:spacing w:after="120" w:line="360" w:lineRule="auto"/>
              <w:ind w:right="107" w:firstLine="240"/>
              <w:jc w:val="right"/>
              <w:rPr>
                <w:rFonts w:ascii="Arial" w:hAnsi="Arial" w:cs="Arial"/>
                <w:i w:val="0"/>
                <w:sz w:val="20"/>
                <w:szCs w:val="20"/>
              </w:rPr>
            </w:pPr>
            <w:r w:rsidRPr="004A191A"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1,980,498,587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DA" w:rsidRPr="004A191A" w:rsidRDefault="00BF03DA" w:rsidP="00BF03DA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3DA" w:rsidRPr="004A191A" w:rsidTr="004A191A">
        <w:trPr>
          <w:trHeight w:hRule="exact" w:val="54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DA" w:rsidRPr="004A191A" w:rsidRDefault="00BF03DA" w:rsidP="00BF03DA">
            <w:pPr>
              <w:pStyle w:val="Other0"/>
              <w:spacing w:after="120" w:line="360" w:lineRule="auto"/>
              <w:ind w:firstLine="0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4A191A"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DA" w:rsidRPr="004A191A" w:rsidRDefault="00BF03DA" w:rsidP="004A191A">
            <w:pPr>
              <w:pStyle w:val="Other0"/>
              <w:spacing w:after="120" w:line="360" w:lineRule="auto"/>
              <w:ind w:firstLine="0"/>
              <w:rPr>
                <w:rFonts w:ascii="Arial" w:hAnsi="Arial" w:cs="Arial"/>
                <w:i w:val="0"/>
                <w:sz w:val="20"/>
                <w:szCs w:val="20"/>
              </w:rPr>
            </w:pPr>
            <w:r w:rsidRPr="004A191A"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Profit after tax in 2020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DA" w:rsidRPr="004A191A" w:rsidRDefault="00BF03DA" w:rsidP="00BF03DA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DA" w:rsidRPr="004A191A" w:rsidRDefault="00BF03DA" w:rsidP="004A191A">
            <w:pPr>
              <w:pStyle w:val="Other0"/>
              <w:spacing w:after="120" w:line="360" w:lineRule="auto"/>
              <w:ind w:right="107" w:firstLine="240"/>
              <w:jc w:val="right"/>
              <w:rPr>
                <w:rFonts w:ascii="Arial" w:hAnsi="Arial" w:cs="Arial"/>
                <w:i w:val="0"/>
                <w:sz w:val="20"/>
                <w:szCs w:val="20"/>
              </w:rPr>
            </w:pPr>
            <w:r w:rsidRPr="004A191A"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2,526,003,731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DA" w:rsidRPr="004A191A" w:rsidRDefault="00BF03DA" w:rsidP="00BF03DA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3DA" w:rsidRPr="004A191A" w:rsidTr="004A191A">
        <w:trPr>
          <w:trHeight w:hRule="exact" w:val="87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DA" w:rsidRPr="004A191A" w:rsidRDefault="00BF03DA" w:rsidP="00BF03DA">
            <w:pPr>
              <w:pStyle w:val="Other0"/>
              <w:spacing w:after="120" w:line="360" w:lineRule="auto"/>
              <w:ind w:firstLine="0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4A191A">
              <w:rPr>
                <w:rFonts w:ascii="Arial" w:hAnsi="Arial" w:cs="Arial"/>
                <w:bCs/>
                <w:i w:val="0"/>
                <w:i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DA" w:rsidRPr="004A191A" w:rsidRDefault="00BF03DA" w:rsidP="004A191A">
            <w:pPr>
              <w:pStyle w:val="Other0"/>
              <w:spacing w:after="120" w:line="360" w:lineRule="auto"/>
              <w:ind w:firstLine="0"/>
              <w:rPr>
                <w:rFonts w:ascii="Arial" w:hAnsi="Arial" w:cs="Arial"/>
                <w:i w:val="0"/>
                <w:sz w:val="20"/>
                <w:szCs w:val="20"/>
              </w:rPr>
            </w:pPr>
            <w:r w:rsidRPr="004A191A">
              <w:rPr>
                <w:rFonts w:ascii="Arial" w:hAnsi="Arial" w:cs="Arial"/>
                <w:bCs/>
                <w:i w:val="0"/>
                <w:iCs w:val="0"/>
                <w:color w:val="000000"/>
                <w:sz w:val="20"/>
                <w:szCs w:val="20"/>
              </w:rPr>
              <w:t>Expected profit distribution in 2020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DA" w:rsidRPr="004A191A" w:rsidRDefault="00BF03DA" w:rsidP="00BF03DA">
            <w:pPr>
              <w:pStyle w:val="Other0"/>
              <w:spacing w:after="120" w:line="360" w:lineRule="auto"/>
              <w:ind w:firstLine="0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4A191A">
              <w:rPr>
                <w:rFonts w:ascii="Arial" w:hAnsi="Arial" w:cs="Arial"/>
                <w:bCs/>
                <w:i w:val="0"/>
                <w:iCs w:val="0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DA" w:rsidRPr="004A191A" w:rsidRDefault="00BF03DA" w:rsidP="004A191A">
            <w:pPr>
              <w:pStyle w:val="Other0"/>
              <w:spacing w:after="120" w:line="360" w:lineRule="auto"/>
              <w:ind w:right="107" w:firstLine="240"/>
              <w:jc w:val="right"/>
              <w:rPr>
                <w:rFonts w:ascii="Arial" w:hAnsi="Arial" w:cs="Arial"/>
                <w:i w:val="0"/>
                <w:sz w:val="20"/>
                <w:szCs w:val="20"/>
              </w:rPr>
            </w:pPr>
            <w:r w:rsidRPr="004A191A">
              <w:rPr>
                <w:rFonts w:ascii="Arial" w:hAnsi="Arial" w:cs="Arial"/>
                <w:bCs/>
                <w:i w:val="0"/>
                <w:iCs w:val="0"/>
                <w:color w:val="000000"/>
                <w:sz w:val="20"/>
                <w:szCs w:val="20"/>
              </w:rPr>
              <w:t>4,506,502,318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DA" w:rsidRPr="004A191A" w:rsidRDefault="00BF03DA" w:rsidP="00BF03DA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3DA" w:rsidRPr="004A191A" w:rsidTr="004A191A">
        <w:trPr>
          <w:trHeight w:hRule="exact" w:val="87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DA" w:rsidRPr="004A191A" w:rsidRDefault="00BF03DA" w:rsidP="00BF03DA">
            <w:pPr>
              <w:pStyle w:val="Other0"/>
              <w:spacing w:after="120" w:line="360" w:lineRule="auto"/>
              <w:ind w:firstLine="0"/>
              <w:jc w:val="center"/>
              <w:rPr>
                <w:rFonts w:ascii="Arial" w:hAnsi="Arial" w:cs="Arial"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4A191A">
              <w:rPr>
                <w:rFonts w:ascii="Arial" w:hAnsi="Arial" w:cs="Arial"/>
                <w:bCs/>
                <w:i w:val="0"/>
                <w:iCs w:val="0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DA" w:rsidRPr="004A191A" w:rsidRDefault="00BF03DA" w:rsidP="004A191A">
            <w:pPr>
              <w:pStyle w:val="Other0"/>
              <w:spacing w:after="120" w:line="360" w:lineRule="auto"/>
              <w:ind w:firstLine="0"/>
              <w:rPr>
                <w:rFonts w:ascii="Arial" w:hAnsi="Arial" w:cs="Arial"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4A191A">
              <w:rPr>
                <w:rFonts w:ascii="Arial" w:hAnsi="Arial" w:cs="Arial"/>
                <w:bCs/>
                <w:i w:val="0"/>
                <w:iCs w:val="0"/>
                <w:color w:val="000000"/>
                <w:sz w:val="20"/>
                <w:szCs w:val="20"/>
              </w:rPr>
              <w:t>Bonus and welfare fund for employees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DA" w:rsidRPr="004A191A" w:rsidRDefault="00BF03DA" w:rsidP="00BF03DA">
            <w:pPr>
              <w:pStyle w:val="Other0"/>
              <w:spacing w:after="120" w:line="360" w:lineRule="auto"/>
              <w:ind w:firstLine="0"/>
              <w:jc w:val="center"/>
              <w:rPr>
                <w:rFonts w:ascii="Arial" w:hAnsi="Arial" w:cs="Arial"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4A191A">
              <w:rPr>
                <w:rFonts w:ascii="Arial" w:hAnsi="Arial" w:cs="Arial"/>
                <w:bCs/>
                <w:i w:val="0"/>
                <w:iCs w:val="0"/>
                <w:color w:val="000000"/>
                <w:sz w:val="20"/>
                <w:szCs w:val="20"/>
              </w:rPr>
              <w:t>2.033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DA" w:rsidRPr="004A191A" w:rsidRDefault="00BF03DA" w:rsidP="004A191A">
            <w:pPr>
              <w:pStyle w:val="Other0"/>
              <w:spacing w:after="120" w:line="360" w:lineRule="auto"/>
              <w:ind w:right="107" w:firstLine="240"/>
              <w:jc w:val="right"/>
              <w:rPr>
                <w:rFonts w:ascii="Arial" w:hAnsi="Arial" w:cs="Arial"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4A191A">
              <w:rPr>
                <w:rFonts w:ascii="Arial" w:hAnsi="Arial" w:cs="Arial"/>
                <w:bCs/>
                <w:i w:val="0"/>
                <w:iCs w:val="0"/>
                <w:color w:val="000000"/>
                <w:sz w:val="20"/>
                <w:szCs w:val="20"/>
              </w:rPr>
              <w:t>91,600,000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DA" w:rsidRPr="004A191A" w:rsidRDefault="00BF03DA" w:rsidP="00BF03DA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3DA" w:rsidRPr="004A191A" w:rsidTr="004A191A">
        <w:trPr>
          <w:trHeight w:hRule="exact" w:val="87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DA" w:rsidRPr="004A191A" w:rsidRDefault="00BF03DA" w:rsidP="00BF03DA">
            <w:pPr>
              <w:pStyle w:val="Other0"/>
              <w:spacing w:after="120" w:line="360" w:lineRule="auto"/>
              <w:ind w:firstLine="0"/>
              <w:jc w:val="center"/>
              <w:rPr>
                <w:rFonts w:ascii="Arial" w:hAnsi="Arial" w:cs="Arial"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4A191A">
              <w:rPr>
                <w:rFonts w:ascii="Arial" w:hAnsi="Arial" w:cs="Arial"/>
                <w:bCs/>
                <w:i w:val="0"/>
                <w:iCs w:val="0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DA" w:rsidRPr="004A191A" w:rsidRDefault="00BF03DA" w:rsidP="004A191A">
            <w:pPr>
              <w:pStyle w:val="Other0"/>
              <w:spacing w:after="120" w:line="360" w:lineRule="auto"/>
              <w:ind w:firstLine="0"/>
              <w:rPr>
                <w:rFonts w:ascii="Arial" w:hAnsi="Arial" w:cs="Arial"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4A191A">
              <w:rPr>
                <w:rFonts w:ascii="Arial" w:hAnsi="Arial" w:cs="Arial"/>
                <w:bCs/>
                <w:i w:val="0"/>
                <w:iCs w:val="0"/>
                <w:color w:val="000000"/>
                <w:sz w:val="20"/>
                <w:szCs w:val="20"/>
              </w:rPr>
              <w:t xml:space="preserve">Bonus fund for the </w:t>
            </w:r>
            <w:r w:rsidR="004A191A">
              <w:rPr>
                <w:rFonts w:ascii="Arial" w:hAnsi="Arial" w:cs="Arial"/>
                <w:bCs/>
                <w:i w:val="0"/>
                <w:iCs w:val="0"/>
                <w:color w:val="000000"/>
                <w:sz w:val="20"/>
                <w:szCs w:val="20"/>
              </w:rPr>
              <w:t>managers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DA" w:rsidRPr="004A191A" w:rsidRDefault="00BF03DA" w:rsidP="00BF03DA">
            <w:pPr>
              <w:pStyle w:val="Other0"/>
              <w:spacing w:after="120" w:line="360" w:lineRule="auto"/>
              <w:ind w:firstLine="0"/>
              <w:jc w:val="center"/>
              <w:rPr>
                <w:rFonts w:ascii="Arial" w:hAnsi="Arial" w:cs="Arial"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4A191A">
              <w:rPr>
                <w:rFonts w:ascii="Arial" w:hAnsi="Arial" w:cs="Arial"/>
                <w:bCs/>
                <w:i w:val="0"/>
                <w:iCs w:val="0"/>
                <w:color w:val="000000"/>
                <w:sz w:val="20"/>
                <w:szCs w:val="20"/>
              </w:rPr>
              <w:t>0.186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DA" w:rsidRPr="004A191A" w:rsidRDefault="00BF03DA" w:rsidP="004A191A">
            <w:pPr>
              <w:pStyle w:val="Other0"/>
              <w:spacing w:after="120" w:line="360" w:lineRule="auto"/>
              <w:ind w:right="107" w:firstLine="240"/>
              <w:jc w:val="right"/>
              <w:rPr>
                <w:rFonts w:ascii="Arial" w:hAnsi="Arial" w:cs="Arial"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4A191A">
              <w:rPr>
                <w:rFonts w:ascii="Arial" w:hAnsi="Arial" w:cs="Arial"/>
                <w:bCs/>
                <w:i w:val="0"/>
                <w:iCs w:val="0"/>
                <w:color w:val="000000"/>
                <w:sz w:val="20"/>
                <w:szCs w:val="20"/>
              </w:rPr>
              <w:t>8,400,000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DA" w:rsidRPr="004A191A" w:rsidRDefault="00BF03DA" w:rsidP="00BF03DA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3DA" w:rsidRPr="004A191A" w:rsidTr="004A191A">
        <w:trPr>
          <w:trHeight w:hRule="exact" w:val="87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DA" w:rsidRPr="004A191A" w:rsidRDefault="00BF03DA" w:rsidP="00BF03DA">
            <w:pPr>
              <w:pStyle w:val="Other0"/>
              <w:spacing w:after="120" w:line="360" w:lineRule="auto"/>
              <w:ind w:firstLine="0"/>
              <w:jc w:val="center"/>
              <w:rPr>
                <w:rFonts w:ascii="Arial" w:hAnsi="Arial" w:cs="Arial"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4A191A">
              <w:rPr>
                <w:rFonts w:ascii="Arial" w:hAnsi="Arial" w:cs="Arial"/>
                <w:bCs/>
                <w:i w:val="0"/>
                <w:iCs w:val="0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DA" w:rsidRPr="004A191A" w:rsidRDefault="00BF03DA" w:rsidP="004A191A">
            <w:pPr>
              <w:pStyle w:val="Other0"/>
              <w:spacing w:after="120" w:line="360" w:lineRule="auto"/>
              <w:ind w:firstLine="0"/>
              <w:rPr>
                <w:rFonts w:ascii="Arial" w:hAnsi="Arial" w:cs="Arial"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4A191A">
              <w:rPr>
                <w:rFonts w:ascii="Arial" w:hAnsi="Arial" w:cs="Arial"/>
                <w:bCs/>
                <w:i w:val="0"/>
                <w:iCs w:val="0"/>
                <w:color w:val="000000"/>
                <w:sz w:val="20"/>
                <w:szCs w:val="20"/>
              </w:rPr>
              <w:t>Dividend payment for shareholders in 2020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DA" w:rsidRPr="004A191A" w:rsidRDefault="00BF03DA" w:rsidP="00BF03DA">
            <w:pPr>
              <w:pStyle w:val="Other0"/>
              <w:spacing w:after="120" w:line="360" w:lineRule="auto"/>
              <w:ind w:firstLine="0"/>
              <w:jc w:val="center"/>
              <w:rPr>
                <w:rFonts w:ascii="Arial" w:hAnsi="Arial" w:cs="Arial"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4A191A">
              <w:rPr>
                <w:rFonts w:ascii="Arial" w:hAnsi="Arial" w:cs="Arial"/>
                <w:bCs/>
                <w:i w:val="0"/>
                <w:iCs w:val="0"/>
                <w:color w:val="000000"/>
                <w:sz w:val="20"/>
                <w:szCs w:val="20"/>
              </w:rPr>
              <w:t>55.476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DA" w:rsidRPr="004A191A" w:rsidRDefault="00BF03DA" w:rsidP="004A191A">
            <w:pPr>
              <w:pStyle w:val="Other0"/>
              <w:spacing w:after="120" w:line="360" w:lineRule="auto"/>
              <w:ind w:right="107" w:firstLine="240"/>
              <w:jc w:val="right"/>
              <w:rPr>
                <w:rFonts w:ascii="Arial" w:hAnsi="Arial" w:cs="Arial"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4A191A">
              <w:rPr>
                <w:rFonts w:ascii="Arial" w:hAnsi="Arial" w:cs="Arial"/>
                <w:bCs/>
                <w:i w:val="0"/>
                <w:iCs w:val="0"/>
                <w:color w:val="000000"/>
                <w:sz w:val="20"/>
                <w:szCs w:val="20"/>
              </w:rPr>
              <w:t>2,500,000,000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DA" w:rsidRPr="004A191A" w:rsidRDefault="00BF03DA" w:rsidP="00BF03DA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91A">
              <w:rPr>
                <w:rFonts w:ascii="Arial" w:hAnsi="Arial" w:cs="Arial"/>
                <w:sz w:val="20"/>
                <w:szCs w:val="20"/>
              </w:rPr>
              <w:t>5% of charter capital</w:t>
            </w:r>
          </w:p>
        </w:tc>
      </w:tr>
      <w:tr w:rsidR="00BF03DA" w:rsidRPr="004A191A" w:rsidTr="004A191A">
        <w:trPr>
          <w:trHeight w:hRule="exact" w:val="87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DA" w:rsidRPr="004A191A" w:rsidRDefault="00BF03DA" w:rsidP="00BF03DA">
            <w:pPr>
              <w:pStyle w:val="Other0"/>
              <w:spacing w:after="120" w:line="360" w:lineRule="auto"/>
              <w:ind w:firstLine="0"/>
              <w:jc w:val="center"/>
              <w:rPr>
                <w:rFonts w:ascii="Arial" w:hAnsi="Arial" w:cs="Arial"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4A191A">
              <w:rPr>
                <w:rFonts w:ascii="Arial" w:hAnsi="Arial" w:cs="Arial"/>
                <w:bCs/>
                <w:i w:val="0"/>
                <w:iCs w:val="0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DA" w:rsidRPr="004A191A" w:rsidRDefault="00BF03DA" w:rsidP="004A191A">
            <w:pPr>
              <w:pStyle w:val="Other0"/>
              <w:spacing w:after="120" w:line="360" w:lineRule="auto"/>
              <w:ind w:firstLine="0"/>
              <w:rPr>
                <w:rFonts w:ascii="Arial" w:hAnsi="Arial" w:cs="Arial"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4A191A">
              <w:rPr>
                <w:rFonts w:ascii="Arial" w:hAnsi="Arial" w:cs="Arial"/>
                <w:bCs/>
                <w:i w:val="0"/>
                <w:iCs w:val="0"/>
                <w:color w:val="000000"/>
                <w:sz w:val="20"/>
                <w:szCs w:val="20"/>
              </w:rPr>
              <w:t>Investment and development fund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DA" w:rsidRPr="004A191A" w:rsidRDefault="00BF03DA" w:rsidP="00BF03DA">
            <w:pPr>
              <w:pStyle w:val="Other0"/>
              <w:spacing w:after="120" w:line="360" w:lineRule="auto"/>
              <w:ind w:firstLine="0"/>
              <w:jc w:val="center"/>
              <w:rPr>
                <w:rFonts w:ascii="Arial" w:hAnsi="Arial" w:cs="Arial"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4A191A">
              <w:rPr>
                <w:rFonts w:ascii="Arial" w:hAnsi="Arial" w:cs="Arial"/>
                <w:bCs/>
                <w:i w:val="0"/>
                <w:iCs w:val="0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DA" w:rsidRPr="004A191A" w:rsidRDefault="00BF03DA" w:rsidP="004A191A">
            <w:pPr>
              <w:pStyle w:val="Other0"/>
              <w:spacing w:after="120" w:line="360" w:lineRule="auto"/>
              <w:ind w:right="107" w:firstLine="240"/>
              <w:jc w:val="right"/>
              <w:rPr>
                <w:rFonts w:ascii="Arial" w:hAnsi="Arial" w:cs="Arial"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4A191A">
              <w:rPr>
                <w:rFonts w:ascii="Arial" w:hAnsi="Arial" w:cs="Arial"/>
                <w:bCs/>
                <w:i w:val="0"/>
                <w:iCs w:val="0"/>
                <w:color w:val="000000"/>
                <w:sz w:val="20"/>
                <w:szCs w:val="20"/>
              </w:rPr>
              <w:t>1,351,950,695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DA" w:rsidRPr="004A191A" w:rsidRDefault="00BF03DA" w:rsidP="00BF03DA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3DA" w:rsidRPr="004A191A" w:rsidTr="004A191A">
        <w:trPr>
          <w:trHeight w:hRule="exact" w:val="87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DA" w:rsidRPr="004A191A" w:rsidRDefault="00BF03DA" w:rsidP="00BF03DA">
            <w:pPr>
              <w:pStyle w:val="Other0"/>
              <w:spacing w:after="120" w:line="360" w:lineRule="auto"/>
              <w:ind w:firstLine="0"/>
              <w:jc w:val="center"/>
              <w:rPr>
                <w:rFonts w:ascii="Arial" w:hAnsi="Arial" w:cs="Arial"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4A191A">
              <w:rPr>
                <w:rFonts w:ascii="Arial" w:hAnsi="Arial" w:cs="Arial"/>
                <w:bCs/>
                <w:i w:val="0"/>
                <w:iCs w:val="0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DA" w:rsidRPr="004A191A" w:rsidRDefault="00BF03DA" w:rsidP="004A191A">
            <w:pPr>
              <w:pStyle w:val="Other0"/>
              <w:spacing w:after="120" w:line="360" w:lineRule="auto"/>
              <w:ind w:firstLine="0"/>
              <w:rPr>
                <w:rFonts w:ascii="Arial" w:hAnsi="Arial" w:cs="Arial"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4A191A">
              <w:rPr>
                <w:rFonts w:ascii="Arial" w:hAnsi="Arial" w:cs="Arial"/>
                <w:bCs/>
                <w:i w:val="0"/>
                <w:iCs w:val="0"/>
                <w:color w:val="000000"/>
                <w:sz w:val="20"/>
                <w:szCs w:val="20"/>
              </w:rPr>
              <w:t>Remaining profit for dividend payment in cash for shareholders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DA" w:rsidRPr="004A191A" w:rsidRDefault="00BF03DA" w:rsidP="00BF03DA">
            <w:pPr>
              <w:pStyle w:val="Other0"/>
              <w:spacing w:after="120" w:line="360" w:lineRule="auto"/>
              <w:ind w:firstLine="0"/>
              <w:jc w:val="center"/>
              <w:rPr>
                <w:rFonts w:ascii="Arial" w:hAnsi="Arial" w:cs="Arial"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4A191A">
              <w:rPr>
                <w:rFonts w:ascii="Arial" w:hAnsi="Arial" w:cs="Arial"/>
                <w:bCs/>
                <w:i w:val="0"/>
                <w:iCs w:val="0"/>
                <w:color w:val="000000"/>
                <w:sz w:val="20"/>
                <w:szCs w:val="20"/>
              </w:rPr>
              <w:t>12.306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3DA" w:rsidRPr="004A191A" w:rsidRDefault="00BF03DA" w:rsidP="004A191A">
            <w:pPr>
              <w:pStyle w:val="Other0"/>
              <w:spacing w:after="120" w:line="360" w:lineRule="auto"/>
              <w:ind w:right="107" w:firstLine="240"/>
              <w:jc w:val="right"/>
              <w:rPr>
                <w:rFonts w:ascii="Arial" w:hAnsi="Arial" w:cs="Arial"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4A191A">
              <w:rPr>
                <w:rFonts w:ascii="Arial" w:hAnsi="Arial" w:cs="Arial"/>
                <w:bCs/>
                <w:i w:val="0"/>
                <w:iCs w:val="0"/>
                <w:color w:val="000000"/>
                <w:sz w:val="20"/>
                <w:szCs w:val="20"/>
              </w:rPr>
              <w:t>554,551,623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DA" w:rsidRPr="004A191A" w:rsidRDefault="00BF03DA" w:rsidP="00BF03DA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91A">
              <w:rPr>
                <w:rFonts w:ascii="Arial" w:hAnsi="Arial" w:cs="Arial"/>
                <w:sz w:val="20"/>
                <w:szCs w:val="20"/>
              </w:rPr>
              <w:t>1.1091% of charter capital</w:t>
            </w:r>
          </w:p>
        </w:tc>
      </w:tr>
    </w:tbl>
    <w:p w:rsidR="00BF03DA" w:rsidRPr="004A191A" w:rsidRDefault="004A191A" w:rsidP="008D467F">
      <w:pPr>
        <w:pStyle w:val="BodyText"/>
        <w:spacing w:before="120" w:after="120" w:line="36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</w:t>
      </w:r>
      <w:r w:rsidR="00BF03DA" w:rsidRPr="004A191A">
        <w:rPr>
          <w:rFonts w:ascii="Arial" w:hAnsi="Arial" w:cs="Arial"/>
          <w:color w:val="000000"/>
          <w:sz w:val="20"/>
          <w:szCs w:val="20"/>
        </w:rPr>
        <w:t>he Board of Directors</w:t>
      </w:r>
      <w:r>
        <w:rPr>
          <w:rFonts w:ascii="Arial" w:hAnsi="Arial" w:cs="Arial"/>
          <w:color w:val="000000"/>
          <w:sz w:val="20"/>
          <w:szCs w:val="20"/>
        </w:rPr>
        <w:t xml:space="preserve"> is authorized</w:t>
      </w:r>
      <w:r w:rsidR="00BF03DA" w:rsidRPr="004A191A">
        <w:rPr>
          <w:rFonts w:ascii="Arial" w:hAnsi="Arial" w:cs="Arial"/>
          <w:color w:val="000000"/>
          <w:sz w:val="20"/>
          <w:szCs w:val="20"/>
        </w:rPr>
        <w:t xml:space="preserve"> to decide on the time and thoroughly </w:t>
      </w:r>
      <w:r>
        <w:rPr>
          <w:rFonts w:ascii="Arial" w:hAnsi="Arial" w:cs="Arial"/>
          <w:color w:val="000000"/>
          <w:sz w:val="20"/>
          <w:szCs w:val="20"/>
        </w:rPr>
        <w:t>implement</w:t>
      </w:r>
      <w:r w:rsidR="00BF03DA" w:rsidRPr="004A191A">
        <w:rPr>
          <w:rFonts w:ascii="Arial" w:hAnsi="Arial" w:cs="Arial"/>
          <w:color w:val="000000"/>
          <w:sz w:val="20"/>
          <w:szCs w:val="20"/>
        </w:rPr>
        <w:t xml:space="preserve"> the profit distribution of 2020 </w:t>
      </w:r>
      <w:r w:rsidR="00C75E1C">
        <w:rPr>
          <w:rFonts w:ascii="Arial" w:hAnsi="Arial" w:cs="Arial"/>
          <w:color w:val="000000"/>
          <w:sz w:val="20"/>
          <w:szCs w:val="20"/>
        </w:rPr>
        <w:t>under applicable laws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BF03DA" w:rsidRPr="004A191A" w:rsidRDefault="00BF03DA" w:rsidP="00BF03DA">
      <w:pPr>
        <w:pStyle w:val="BodyText"/>
        <w:spacing w:after="120" w:line="360" w:lineRule="auto"/>
        <w:ind w:firstLine="0"/>
        <w:rPr>
          <w:rFonts w:ascii="Arial" w:hAnsi="Arial" w:cs="Arial"/>
          <w:sz w:val="20"/>
          <w:szCs w:val="20"/>
        </w:rPr>
      </w:pPr>
      <w:r w:rsidRPr="004A191A">
        <w:rPr>
          <w:rFonts w:ascii="Arial" w:hAnsi="Arial" w:cs="Arial"/>
          <w:color w:val="000000"/>
          <w:sz w:val="20"/>
          <w:szCs w:val="20"/>
        </w:rPr>
        <w:lastRenderedPageBreak/>
        <w:t>Dividends are paid in cash.</w:t>
      </w:r>
    </w:p>
    <w:p w:rsidR="003C7BCB" w:rsidRPr="004A191A" w:rsidRDefault="00BF03DA" w:rsidP="00BF03D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A191A">
        <w:rPr>
          <w:rFonts w:ascii="Arial" w:hAnsi="Arial" w:cs="Arial"/>
          <w:sz w:val="20"/>
          <w:szCs w:val="20"/>
        </w:rPr>
        <w:t xml:space="preserve">The Board of Directors </w:t>
      </w:r>
      <w:r w:rsidR="004A191A">
        <w:rPr>
          <w:rFonts w:ascii="Arial" w:hAnsi="Arial" w:cs="Arial"/>
          <w:sz w:val="20"/>
          <w:szCs w:val="20"/>
        </w:rPr>
        <w:t>requested</w:t>
      </w:r>
      <w:r w:rsidRPr="004A191A">
        <w:rPr>
          <w:rFonts w:ascii="Arial" w:hAnsi="Arial" w:cs="Arial"/>
          <w:sz w:val="20"/>
          <w:szCs w:val="20"/>
        </w:rPr>
        <w:t xml:space="preserve"> th</w:t>
      </w:r>
      <w:r w:rsidR="004A191A">
        <w:rPr>
          <w:rFonts w:ascii="Arial" w:hAnsi="Arial" w:cs="Arial"/>
          <w:sz w:val="20"/>
          <w:szCs w:val="20"/>
        </w:rPr>
        <w:t>e s</w:t>
      </w:r>
      <w:r w:rsidRPr="004A191A">
        <w:rPr>
          <w:rFonts w:ascii="Arial" w:hAnsi="Arial" w:cs="Arial"/>
          <w:sz w:val="20"/>
          <w:szCs w:val="20"/>
        </w:rPr>
        <w:t xml:space="preserve">hareholders </w:t>
      </w:r>
      <w:r w:rsidR="004A191A">
        <w:rPr>
          <w:rFonts w:ascii="Arial" w:hAnsi="Arial" w:cs="Arial"/>
          <w:sz w:val="20"/>
          <w:szCs w:val="20"/>
        </w:rPr>
        <w:t xml:space="preserve">to </w:t>
      </w:r>
      <w:r w:rsidRPr="004A191A">
        <w:rPr>
          <w:rFonts w:ascii="Arial" w:hAnsi="Arial" w:cs="Arial"/>
          <w:sz w:val="20"/>
          <w:szCs w:val="20"/>
        </w:rPr>
        <w:t>consider, approve and give out voting opinions on the contents</w:t>
      </w:r>
      <w:r w:rsidR="00C75E1C">
        <w:rPr>
          <w:rFonts w:ascii="Arial" w:hAnsi="Arial" w:cs="Arial"/>
          <w:sz w:val="20"/>
          <w:szCs w:val="20"/>
        </w:rPr>
        <w:t xml:space="preserve"> above in the attached “Drafted</w:t>
      </w:r>
      <w:r w:rsidRPr="004A191A">
        <w:rPr>
          <w:rFonts w:ascii="Arial" w:hAnsi="Arial" w:cs="Arial"/>
          <w:sz w:val="20"/>
          <w:szCs w:val="20"/>
        </w:rPr>
        <w:t xml:space="preserve"> 2021 Extraordinary General Mandate”.</w:t>
      </w:r>
    </w:p>
    <w:p w:rsidR="003C7BCB" w:rsidRPr="004A191A" w:rsidRDefault="00BF03DA" w:rsidP="00BF03D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A191A">
        <w:rPr>
          <w:rFonts w:ascii="Arial" w:hAnsi="Arial" w:cs="Arial"/>
          <w:sz w:val="20"/>
          <w:szCs w:val="20"/>
        </w:rPr>
        <w:t xml:space="preserve">In case the </w:t>
      </w:r>
      <w:r w:rsidR="00774E5B">
        <w:rPr>
          <w:rFonts w:ascii="Arial" w:hAnsi="Arial" w:cs="Arial"/>
          <w:sz w:val="20"/>
          <w:szCs w:val="20"/>
        </w:rPr>
        <w:t>s</w:t>
      </w:r>
      <w:r w:rsidRPr="004A191A">
        <w:rPr>
          <w:rFonts w:ascii="Arial" w:hAnsi="Arial" w:cs="Arial"/>
          <w:sz w:val="20"/>
          <w:szCs w:val="20"/>
        </w:rPr>
        <w:t xml:space="preserve">hareholder authorizes another person to exercise voting right, the authorized person must enclose the original </w:t>
      </w:r>
      <w:r w:rsidR="004A191A">
        <w:rPr>
          <w:rFonts w:ascii="Arial" w:hAnsi="Arial" w:cs="Arial"/>
          <w:sz w:val="20"/>
          <w:szCs w:val="20"/>
        </w:rPr>
        <w:t>P</w:t>
      </w:r>
      <w:r w:rsidRPr="004A191A">
        <w:rPr>
          <w:rFonts w:ascii="Arial" w:hAnsi="Arial" w:cs="Arial"/>
          <w:sz w:val="20"/>
          <w:szCs w:val="20"/>
        </w:rPr>
        <w:t xml:space="preserve">ower of </w:t>
      </w:r>
      <w:r w:rsidR="004A191A">
        <w:rPr>
          <w:rFonts w:ascii="Arial" w:hAnsi="Arial" w:cs="Arial"/>
          <w:sz w:val="20"/>
          <w:szCs w:val="20"/>
        </w:rPr>
        <w:t>A</w:t>
      </w:r>
      <w:r w:rsidRPr="004A191A">
        <w:rPr>
          <w:rFonts w:ascii="Arial" w:hAnsi="Arial" w:cs="Arial"/>
          <w:sz w:val="20"/>
          <w:szCs w:val="20"/>
        </w:rPr>
        <w:t xml:space="preserve">ttorney or the notarized copy from competent authorities (“Power of attorney”). </w:t>
      </w:r>
      <w:r w:rsidR="00C75E1C">
        <w:rPr>
          <w:rFonts w:ascii="Arial" w:hAnsi="Arial" w:cs="Arial"/>
          <w:sz w:val="20"/>
          <w:szCs w:val="20"/>
        </w:rPr>
        <w:t xml:space="preserve">The </w:t>
      </w:r>
      <w:r w:rsidR="00774E5B">
        <w:rPr>
          <w:rFonts w:ascii="Arial" w:hAnsi="Arial" w:cs="Arial"/>
          <w:sz w:val="20"/>
          <w:szCs w:val="20"/>
        </w:rPr>
        <w:t>ballots</w:t>
      </w:r>
      <w:r w:rsidR="00C75E1C">
        <w:rPr>
          <w:rFonts w:ascii="Arial" w:hAnsi="Arial" w:cs="Arial"/>
          <w:sz w:val="20"/>
          <w:szCs w:val="20"/>
        </w:rPr>
        <w:t xml:space="preserve"> </w:t>
      </w:r>
      <w:r w:rsidR="00774E5B">
        <w:rPr>
          <w:rFonts w:ascii="Arial" w:hAnsi="Arial" w:cs="Arial"/>
          <w:sz w:val="20"/>
          <w:szCs w:val="20"/>
        </w:rPr>
        <w:t xml:space="preserve">enclosed </w:t>
      </w:r>
      <w:r w:rsidRPr="004A191A">
        <w:rPr>
          <w:rFonts w:ascii="Arial" w:hAnsi="Arial" w:cs="Arial"/>
          <w:sz w:val="20"/>
          <w:szCs w:val="20"/>
        </w:rPr>
        <w:t xml:space="preserve">without the Power of </w:t>
      </w:r>
      <w:r w:rsidR="00774E5B">
        <w:rPr>
          <w:rFonts w:ascii="Arial" w:hAnsi="Arial" w:cs="Arial"/>
          <w:sz w:val="20"/>
          <w:szCs w:val="20"/>
        </w:rPr>
        <w:t>A</w:t>
      </w:r>
      <w:r w:rsidRPr="004A191A">
        <w:rPr>
          <w:rFonts w:ascii="Arial" w:hAnsi="Arial" w:cs="Arial"/>
          <w:sz w:val="20"/>
          <w:szCs w:val="20"/>
        </w:rPr>
        <w:t xml:space="preserve">ttorney </w:t>
      </w:r>
      <w:r w:rsidR="00774E5B">
        <w:rPr>
          <w:rFonts w:ascii="Arial" w:hAnsi="Arial" w:cs="Arial"/>
          <w:sz w:val="20"/>
          <w:szCs w:val="20"/>
        </w:rPr>
        <w:t>are</w:t>
      </w:r>
      <w:r w:rsidRPr="004A191A">
        <w:rPr>
          <w:rFonts w:ascii="Arial" w:hAnsi="Arial" w:cs="Arial"/>
          <w:sz w:val="20"/>
          <w:szCs w:val="20"/>
        </w:rPr>
        <w:t xml:space="preserve"> considered invalid</w:t>
      </w:r>
      <w:r w:rsidR="00774E5B">
        <w:rPr>
          <w:rFonts w:ascii="Arial" w:hAnsi="Arial" w:cs="Arial"/>
          <w:sz w:val="20"/>
          <w:szCs w:val="20"/>
        </w:rPr>
        <w:t>.</w:t>
      </w:r>
    </w:p>
    <w:p w:rsidR="003C7BCB" w:rsidRPr="004A191A" w:rsidRDefault="00BF03DA" w:rsidP="00BF03D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A191A">
        <w:rPr>
          <w:rFonts w:ascii="Arial" w:hAnsi="Arial" w:cs="Arial"/>
          <w:sz w:val="20"/>
          <w:szCs w:val="20"/>
        </w:rPr>
        <w:t xml:space="preserve">All the contents above are under authorities of the General Meeting of Shareholders, the Board of Directors </w:t>
      </w:r>
      <w:r w:rsidR="00774E5B">
        <w:rPr>
          <w:rFonts w:ascii="Arial" w:hAnsi="Arial" w:cs="Arial"/>
          <w:sz w:val="20"/>
          <w:szCs w:val="20"/>
        </w:rPr>
        <w:t>requested thes</w:t>
      </w:r>
      <w:r w:rsidRPr="004A191A">
        <w:rPr>
          <w:rFonts w:ascii="Arial" w:hAnsi="Arial" w:cs="Arial"/>
          <w:sz w:val="20"/>
          <w:szCs w:val="20"/>
        </w:rPr>
        <w:t xml:space="preserve">hareholder </w:t>
      </w:r>
      <w:r w:rsidR="00774E5B">
        <w:rPr>
          <w:rFonts w:ascii="Arial" w:hAnsi="Arial" w:cs="Arial"/>
          <w:sz w:val="20"/>
          <w:szCs w:val="20"/>
        </w:rPr>
        <w:t xml:space="preserve">to </w:t>
      </w:r>
      <w:r w:rsidRPr="004A191A">
        <w:rPr>
          <w:rFonts w:ascii="Arial" w:hAnsi="Arial" w:cs="Arial"/>
          <w:sz w:val="20"/>
          <w:szCs w:val="20"/>
        </w:rPr>
        <w:t xml:space="preserve">gives out opinion to the </w:t>
      </w:r>
      <w:r w:rsidR="00C75E1C">
        <w:rPr>
          <w:rFonts w:ascii="Arial" w:hAnsi="Arial" w:cs="Arial"/>
          <w:sz w:val="20"/>
          <w:szCs w:val="20"/>
        </w:rPr>
        <w:t>aforementioned contents</w:t>
      </w:r>
      <w:r w:rsidRPr="004A191A">
        <w:rPr>
          <w:rFonts w:ascii="Arial" w:hAnsi="Arial" w:cs="Arial"/>
          <w:sz w:val="20"/>
          <w:szCs w:val="20"/>
        </w:rPr>
        <w:t xml:space="preserve"> </w:t>
      </w:r>
      <w:r w:rsidR="00C75E1C">
        <w:rPr>
          <w:rFonts w:ascii="Arial" w:hAnsi="Arial" w:cs="Arial"/>
          <w:sz w:val="20"/>
          <w:szCs w:val="20"/>
        </w:rPr>
        <w:t>by mail-in</w:t>
      </w:r>
      <w:r w:rsidR="00774E5B">
        <w:rPr>
          <w:rFonts w:ascii="Arial" w:hAnsi="Arial" w:cs="Arial"/>
          <w:sz w:val="20"/>
          <w:szCs w:val="20"/>
        </w:rPr>
        <w:t xml:space="preserve"> ballot</w:t>
      </w:r>
      <w:r w:rsidR="00C75E1C">
        <w:rPr>
          <w:rFonts w:ascii="Arial" w:hAnsi="Arial" w:cs="Arial"/>
          <w:sz w:val="20"/>
          <w:szCs w:val="20"/>
        </w:rPr>
        <w:t xml:space="preserve"> and submit</w:t>
      </w:r>
      <w:r w:rsidRPr="004A191A">
        <w:rPr>
          <w:rFonts w:ascii="Arial" w:hAnsi="Arial" w:cs="Arial"/>
          <w:sz w:val="20"/>
          <w:szCs w:val="20"/>
        </w:rPr>
        <w:t xml:space="preserve"> to Vietnam Textile Research Institution Joint Stock Company in a sealed envelope no later than 5.00 pm October 1, 2021 vi</w:t>
      </w:r>
      <w:r w:rsidR="00774E5B">
        <w:rPr>
          <w:rFonts w:ascii="Arial" w:hAnsi="Arial" w:cs="Arial"/>
          <w:sz w:val="20"/>
          <w:szCs w:val="20"/>
        </w:rPr>
        <w:t>a</w:t>
      </w:r>
      <w:r w:rsidRPr="004A191A">
        <w:rPr>
          <w:rFonts w:ascii="Arial" w:hAnsi="Arial" w:cs="Arial"/>
          <w:sz w:val="20"/>
          <w:szCs w:val="20"/>
        </w:rPr>
        <w:t xml:space="preserve"> post, email or fax.</w:t>
      </w:r>
    </w:p>
    <w:p w:rsidR="003C7BCB" w:rsidRPr="004A191A" w:rsidRDefault="00BF03DA" w:rsidP="00BF03D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A191A">
        <w:rPr>
          <w:rFonts w:ascii="Arial" w:hAnsi="Arial" w:cs="Arial"/>
          <w:sz w:val="20"/>
          <w:szCs w:val="20"/>
        </w:rPr>
        <w:t>After th</w:t>
      </w:r>
      <w:r w:rsidR="00774E5B">
        <w:rPr>
          <w:rFonts w:ascii="Arial" w:hAnsi="Arial" w:cs="Arial"/>
          <w:sz w:val="20"/>
          <w:szCs w:val="20"/>
        </w:rPr>
        <w:t>e time limit above</w:t>
      </w:r>
      <w:r w:rsidRPr="004A191A">
        <w:rPr>
          <w:rFonts w:ascii="Arial" w:hAnsi="Arial" w:cs="Arial"/>
          <w:sz w:val="20"/>
          <w:szCs w:val="20"/>
        </w:rPr>
        <w:t xml:space="preserve">, if the </w:t>
      </w:r>
      <w:r w:rsidR="00774E5B">
        <w:rPr>
          <w:rFonts w:ascii="Arial" w:hAnsi="Arial" w:cs="Arial"/>
          <w:sz w:val="20"/>
          <w:szCs w:val="20"/>
        </w:rPr>
        <w:t>s</w:t>
      </w:r>
      <w:r w:rsidRPr="004A191A">
        <w:rPr>
          <w:rFonts w:ascii="Arial" w:hAnsi="Arial" w:cs="Arial"/>
          <w:sz w:val="20"/>
          <w:szCs w:val="20"/>
        </w:rPr>
        <w:t xml:space="preserve">hareholder fails to </w:t>
      </w:r>
      <w:r w:rsidR="00C75E1C">
        <w:rPr>
          <w:rFonts w:ascii="Arial" w:hAnsi="Arial" w:cs="Arial"/>
          <w:sz w:val="20"/>
          <w:szCs w:val="20"/>
        </w:rPr>
        <w:t>mail</w:t>
      </w:r>
      <w:r w:rsidRPr="004A191A">
        <w:rPr>
          <w:rFonts w:ascii="Arial" w:hAnsi="Arial" w:cs="Arial"/>
          <w:sz w:val="20"/>
          <w:szCs w:val="20"/>
        </w:rPr>
        <w:t xml:space="preserve"> the ballot, it will be considered that the </w:t>
      </w:r>
      <w:r w:rsidR="00774E5B">
        <w:rPr>
          <w:rFonts w:ascii="Arial" w:hAnsi="Arial" w:cs="Arial"/>
          <w:sz w:val="20"/>
          <w:szCs w:val="20"/>
        </w:rPr>
        <w:t>s</w:t>
      </w:r>
      <w:r w:rsidRPr="004A191A">
        <w:rPr>
          <w:rFonts w:ascii="Arial" w:hAnsi="Arial" w:cs="Arial"/>
          <w:sz w:val="20"/>
          <w:szCs w:val="20"/>
        </w:rPr>
        <w:t xml:space="preserve">hareholder has no opinion on </w:t>
      </w:r>
      <w:r w:rsidR="00C75E1C">
        <w:rPr>
          <w:rFonts w:ascii="Arial" w:hAnsi="Arial" w:cs="Arial"/>
          <w:sz w:val="20"/>
          <w:szCs w:val="20"/>
        </w:rPr>
        <w:t>the issues on</w:t>
      </w:r>
      <w:r w:rsidRPr="004A191A">
        <w:rPr>
          <w:rFonts w:ascii="Arial" w:hAnsi="Arial" w:cs="Arial"/>
          <w:sz w:val="20"/>
          <w:szCs w:val="20"/>
        </w:rPr>
        <w:t xml:space="preserve"> which opinions are collected.</w:t>
      </w:r>
    </w:p>
    <w:p w:rsidR="003C7BCB" w:rsidRPr="004A191A" w:rsidRDefault="00BF03DA" w:rsidP="00BF03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560"/>
        </w:tabs>
        <w:spacing w:after="120" w:line="360" w:lineRule="auto"/>
        <w:rPr>
          <w:rFonts w:ascii="Arial" w:eastAsia="Arial" w:hAnsi="Arial" w:cs="Arial"/>
          <w:sz w:val="20"/>
          <w:szCs w:val="20"/>
        </w:rPr>
      </w:pPr>
      <w:r w:rsidRPr="004A191A">
        <w:rPr>
          <w:rFonts w:ascii="Arial" w:hAnsi="Arial" w:cs="Arial"/>
          <w:sz w:val="20"/>
          <w:szCs w:val="20"/>
        </w:rPr>
        <w:t>Mailing address:</w:t>
      </w:r>
    </w:p>
    <w:p w:rsidR="003C7BCB" w:rsidRPr="004A191A" w:rsidRDefault="00BF03DA" w:rsidP="00BF03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668"/>
        </w:tabs>
        <w:spacing w:after="120" w:line="360" w:lineRule="auto"/>
        <w:rPr>
          <w:rFonts w:ascii="Arial" w:eastAsia="Arial" w:hAnsi="Arial" w:cs="Arial"/>
          <w:sz w:val="20"/>
          <w:szCs w:val="20"/>
        </w:rPr>
      </w:pPr>
      <w:r w:rsidRPr="004A191A">
        <w:rPr>
          <w:rFonts w:ascii="Arial" w:hAnsi="Arial" w:cs="Arial"/>
          <w:sz w:val="20"/>
          <w:szCs w:val="20"/>
        </w:rPr>
        <w:t>Ms. Nguyen Thanh Huong - The Executive Department of Vietnam Textile Research Institution Joint Stock Company</w:t>
      </w:r>
    </w:p>
    <w:p w:rsidR="003C7BCB" w:rsidRPr="004A191A" w:rsidRDefault="00BF03DA" w:rsidP="00BF03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360" w:lineRule="auto"/>
        <w:ind w:left="0" w:firstLine="0"/>
        <w:rPr>
          <w:rFonts w:ascii="Arial" w:eastAsia="Arial" w:hAnsi="Arial" w:cs="Arial"/>
          <w:sz w:val="20"/>
          <w:szCs w:val="20"/>
        </w:rPr>
      </w:pPr>
      <w:r w:rsidRPr="004A191A">
        <w:rPr>
          <w:rFonts w:ascii="Arial" w:hAnsi="Arial" w:cs="Arial"/>
          <w:sz w:val="20"/>
          <w:szCs w:val="20"/>
        </w:rPr>
        <w:t>Address: No. 478, Minh Khai Street, Vinh Tuy Ward, Hai Ba Trung District, Hanoi.</w:t>
      </w:r>
    </w:p>
    <w:p w:rsidR="003C7BCB" w:rsidRPr="004A191A" w:rsidRDefault="00BF03DA" w:rsidP="00BF03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063"/>
        </w:tabs>
        <w:spacing w:after="120" w:line="360" w:lineRule="auto"/>
        <w:ind w:left="0" w:firstLine="0"/>
        <w:rPr>
          <w:rFonts w:ascii="Arial" w:eastAsia="Arial" w:hAnsi="Arial" w:cs="Arial"/>
          <w:sz w:val="20"/>
          <w:szCs w:val="20"/>
        </w:rPr>
      </w:pPr>
      <w:r w:rsidRPr="004A191A">
        <w:rPr>
          <w:rFonts w:ascii="Arial" w:hAnsi="Arial" w:cs="Arial"/>
          <w:sz w:val="20"/>
          <w:szCs w:val="20"/>
        </w:rPr>
        <w:t>Tel:  091 5151774</w:t>
      </w:r>
    </w:p>
    <w:p w:rsidR="003C7BCB" w:rsidRPr="004A191A" w:rsidRDefault="00BF03DA" w:rsidP="00BF03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693"/>
        </w:tabs>
        <w:spacing w:after="120" w:line="360" w:lineRule="auto"/>
        <w:rPr>
          <w:rFonts w:ascii="Arial" w:eastAsia="Arial" w:hAnsi="Arial" w:cs="Arial"/>
          <w:sz w:val="20"/>
          <w:szCs w:val="20"/>
        </w:rPr>
      </w:pPr>
      <w:r w:rsidRPr="004A191A">
        <w:rPr>
          <w:rFonts w:ascii="Arial" w:hAnsi="Arial" w:cs="Arial"/>
          <w:sz w:val="20"/>
          <w:szCs w:val="20"/>
        </w:rPr>
        <w:t xml:space="preserve">Email: </w:t>
      </w:r>
      <w:r w:rsidR="00774E5B" w:rsidRPr="00774E5B">
        <w:rPr>
          <w:rFonts w:ascii="Arial" w:hAnsi="Arial" w:cs="Arial"/>
          <w:sz w:val="20"/>
          <w:szCs w:val="20"/>
        </w:rPr>
        <w:t>info@viendetmay.org.vn</w:t>
      </w:r>
      <w:r w:rsidRPr="004A191A">
        <w:rPr>
          <w:rFonts w:ascii="Arial" w:hAnsi="Arial" w:cs="Arial"/>
          <w:sz w:val="20"/>
          <w:szCs w:val="20"/>
        </w:rPr>
        <w:t>(inapplicable to the case of authorization)</w:t>
      </w:r>
      <w:r w:rsidR="00774E5B">
        <w:rPr>
          <w:rFonts w:ascii="Arial" w:hAnsi="Arial" w:cs="Arial"/>
          <w:sz w:val="20"/>
          <w:szCs w:val="20"/>
        </w:rPr>
        <w:t>.</w:t>
      </w:r>
    </w:p>
    <w:p w:rsidR="003C7BCB" w:rsidRPr="004A191A" w:rsidRDefault="00BF03DA" w:rsidP="00BF03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693"/>
          <w:tab w:val="left" w:pos="10063"/>
        </w:tabs>
        <w:spacing w:after="120" w:line="360" w:lineRule="auto"/>
        <w:rPr>
          <w:rFonts w:ascii="Arial" w:eastAsia="Arial" w:hAnsi="Arial" w:cs="Arial"/>
          <w:sz w:val="20"/>
          <w:szCs w:val="20"/>
        </w:rPr>
      </w:pPr>
      <w:r w:rsidRPr="004A191A">
        <w:rPr>
          <w:rFonts w:ascii="Arial" w:hAnsi="Arial" w:cs="Arial"/>
          <w:sz w:val="20"/>
          <w:szCs w:val="20"/>
        </w:rPr>
        <w:t>Fax: 024.38622867 (inapplicable to the case of authorization)</w:t>
      </w:r>
    </w:p>
    <w:p w:rsidR="003C7BCB" w:rsidRPr="004A191A" w:rsidRDefault="00BF03DA" w:rsidP="008D467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0"/>
          <w:szCs w:val="20"/>
        </w:rPr>
      </w:pPr>
      <w:r w:rsidRPr="004A191A">
        <w:rPr>
          <w:rFonts w:ascii="Arial" w:hAnsi="Arial" w:cs="Arial"/>
          <w:sz w:val="20"/>
          <w:szCs w:val="20"/>
        </w:rPr>
        <w:t>The</w:t>
      </w:r>
      <w:r w:rsidR="00774E5B">
        <w:rPr>
          <w:rFonts w:ascii="Arial" w:hAnsi="Arial" w:cs="Arial"/>
          <w:sz w:val="20"/>
          <w:szCs w:val="20"/>
        </w:rPr>
        <w:t xml:space="preserve"> documents </w:t>
      </w:r>
      <w:r w:rsidRPr="004A191A">
        <w:rPr>
          <w:rFonts w:ascii="Arial" w:hAnsi="Arial" w:cs="Arial"/>
          <w:sz w:val="20"/>
          <w:szCs w:val="20"/>
        </w:rPr>
        <w:t>on collecting shareholders' opinions via a ballot are published on the</w:t>
      </w:r>
      <w:r w:rsidR="00774E5B">
        <w:rPr>
          <w:rFonts w:ascii="Arial" w:hAnsi="Arial" w:cs="Arial"/>
          <w:sz w:val="20"/>
          <w:szCs w:val="20"/>
        </w:rPr>
        <w:t xml:space="preserve"> Company’s</w:t>
      </w:r>
      <w:r w:rsidRPr="004A191A">
        <w:rPr>
          <w:rFonts w:ascii="Arial" w:hAnsi="Arial" w:cs="Arial"/>
          <w:sz w:val="20"/>
          <w:szCs w:val="20"/>
        </w:rPr>
        <w:t xml:space="preserve"> website: www.viendetmay.org.vn</w:t>
      </w:r>
    </w:p>
    <w:sectPr w:rsidR="003C7BCB" w:rsidRPr="004A191A" w:rsidSect="00BF03DA">
      <w:pgSz w:w="11900" w:h="16840" w:code="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31BF9"/>
    <w:multiLevelType w:val="multilevel"/>
    <w:tmpl w:val="8E5C00CA"/>
    <w:lvl w:ilvl="0">
      <w:start w:val="1"/>
      <w:numFmt w:val="bullet"/>
      <w:suff w:val="space"/>
      <w:lvlText w:val="−"/>
      <w:lvlJc w:val="left"/>
      <w:pPr>
        <w:ind w:left="720" w:hanging="72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">
    <w:nsid w:val="7D87775C"/>
    <w:multiLevelType w:val="multilevel"/>
    <w:tmpl w:val="7B3C11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7BCB"/>
    <w:rsid w:val="0009428A"/>
    <w:rsid w:val="00264C06"/>
    <w:rsid w:val="003C7BCB"/>
    <w:rsid w:val="004A191A"/>
    <w:rsid w:val="00774E5B"/>
    <w:rsid w:val="008D467F"/>
    <w:rsid w:val="00BF03DA"/>
    <w:rsid w:val="00C75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64C06"/>
    <w:rPr>
      <w:color w:val="000000"/>
    </w:rPr>
  </w:style>
  <w:style w:type="paragraph" w:styleId="Heading1">
    <w:name w:val="heading 1"/>
    <w:basedOn w:val="Normal"/>
    <w:next w:val="Normal"/>
    <w:rsid w:val="00264C0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264C0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264C0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264C06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264C0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264C0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264C0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3">
    <w:name w:val="Body text (3)_"/>
    <w:basedOn w:val="DefaultParagraphFont"/>
    <w:link w:val="Bodytext30"/>
    <w:rsid w:val="00264C06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sid w:val="00264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13738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sid w:val="00264C06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character" w:customStyle="1" w:styleId="Tableofcontents">
    <w:name w:val="Table of contents_"/>
    <w:basedOn w:val="DefaultParagraphFont"/>
    <w:link w:val="Tableofcontents0"/>
    <w:rsid w:val="00264C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13738"/>
      <w:sz w:val="26"/>
      <w:szCs w:val="26"/>
      <w:u w:val="none"/>
      <w:shd w:val="clear" w:color="auto" w:fill="auto"/>
    </w:rPr>
  </w:style>
  <w:style w:type="paragraph" w:customStyle="1" w:styleId="Bodytext30">
    <w:name w:val="Body text (3)"/>
    <w:basedOn w:val="Normal"/>
    <w:link w:val="Bodytext3"/>
    <w:rsid w:val="00264C06"/>
    <w:pPr>
      <w:spacing w:line="216" w:lineRule="auto"/>
      <w:jc w:val="center"/>
    </w:pPr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qFormat/>
    <w:rsid w:val="00264C06"/>
    <w:pPr>
      <w:spacing w:line="262" w:lineRule="auto"/>
      <w:ind w:firstLine="400"/>
    </w:pPr>
    <w:rPr>
      <w:rFonts w:ascii="Times New Roman" w:eastAsia="Times New Roman" w:hAnsi="Times New Roman" w:cs="Times New Roman"/>
      <w:color w:val="313738"/>
      <w:sz w:val="26"/>
      <w:szCs w:val="26"/>
    </w:rPr>
  </w:style>
  <w:style w:type="paragraph" w:customStyle="1" w:styleId="Bodytext20">
    <w:name w:val="Body text (2)"/>
    <w:basedOn w:val="Normal"/>
    <w:link w:val="Bodytext2"/>
    <w:rsid w:val="00264C06"/>
    <w:rPr>
      <w:rFonts w:ascii="Arial" w:eastAsia="Arial" w:hAnsi="Arial" w:cs="Arial"/>
      <w:sz w:val="10"/>
      <w:szCs w:val="10"/>
    </w:rPr>
  </w:style>
  <w:style w:type="paragraph" w:customStyle="1" w:styleId="Tableofcontents0">
    <w:name w:val="Table of contents"/>
    <w:basedOn w:val="Normal"/>
    <w:link w:val="Tableofcontents"/>
    <w:rsid w:val="00264C06"/>
    <w:pPr>
      <w:spacing w:after="170"/>
      <w:jc w:val="right"/>
    </w:pPr>
    <w:rPr>
      <w:rFonts w:ascii="Times New Roman" w:eastAsia="Times New Roman" w:hAnsi="Times New Roman" w:cs="Times New Roman"/>
      <w:b/>
      <w:bCs/>
      <w:color w:val="313738"/>
      <w:sz w:val="26"/>
      <w:szCs w:val="26"/>
    </w:rPr>
  </w:style>
  <w:style w:type="paragraph" w:styleId="Subtitle">
    <w:name w:val="Subtitle"/>
    <w:basedOn w:val="Normal"/>
    <w:next w:val="Normal"/>
    <w:rsid w:val="00264C0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ablecaption">
    <w:name w:val="Table caption_"/>
    <w:basedOn w:val="DefaultParagraphFont"/>
    <w:link w:val="Tablecaption0"/>
    <w:rsid w:val="00BF03DA"/>
    <w:rPr>
      <w:rFonts w:ascii="Times New Roman" w:eastAsia="Times New Roman" w:hAnsi="Times New Roman" w:cs="Times New Roman"/>
      <w:sz w:val="26"/>
      <w:szCs w:val="26"/>
    </w:rPr>
  </w:style>
  <w:style w:type="character" w:customStyle="1" w:styleId="Other">
    <w:name w:val="Other_"/>
    <w:basedOn w:val="DefaultParagraphFont"/>
    <w:link w:val="Other0"/>
    <w:rsid w:val="00BF03DA"/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Tablecaption0">
    <w:name w:val="Table caption"/>
    <w:basedOn w:val="Normal"/>
    <w:link w:val="Tablecaption"/>
    <w:rsid w:val="00BF03DA"/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Other0">
    <w:name w:val="Other"/>
    <w:basedOn w:val="Normal"/>
    <w:link w:val="Other"/>
    <w:rsid w:val="00BF03DA"/>
    <w:pPr>
      <w:spacing w:line="288" w:lineRule="auto"/>
      <w:ind w:firstLine="400"/>
    </w:pPr>
    <w:rPr>
      <w:rFonts w:ascii="Times New Roman" w:eastAsia="Times New Roman" w:hAnsi="Times New Roman" w:cs="Times New Roman"/>
      <w:i/>
      <w:iCs/>
      <w:color w:val="auto"/>
      <w:sz w:val="26"/>
      <w:szCs w:val="26"/>
    </w:rPr>
  </w:style>
  <w:style w:type="paragraph" w:styleId="ListParagraph">
    <w:name w:val="List Paragraph"/>
    <w:basedOn w:val="Normal"/>
    <w:uiPriority w:val="34"/>
    <w:qFormat/>
    <w:rsid w:val="00BF03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4E5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4E5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Of3/Wq8pShxYE63mGEuGbvVqng==">AMUW2mWAESCy7o0whCboDWyB1sjhFCyFj5q7mhMEtvrqDbvVdhxiVRC7M3UT/R6McwvcZFPx3OttdVNKznT6d7J+J3eLKJCleOZ4uyG8xvxvg38FKrUAQiLT7/nZtnpn38eTQVeFJXiX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2021-10-01T03:32:00Z</dcterms:created>
  <dcterms:modified xsi:type="dcterms:W3CDTF">2021-10-01T03:32:00Z</dcterms:modified>
</cp:coreProperties>
</file>